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5FCB" w14:textId="77777777" w:rsidR="00201AA7" w:rsidRPr="00D5087C" w:rsidRDefault="00201AA7" w:rsidP="00201AA7">
      <w:pPr>
        <w:widowControl w:val="0"/>
        <w:jc w:val="center"/>
        <w:rPr>
          <w:b/>
          <w:sz w:val="28"/>
          <w:szCs w:val="28"/>
        </w:rPr>
      </w:pPr>
      <w:r w:rsidRPr="00D5087C">
        <w:rPr>
          <w:b/>
          <w:sz w:val="28"/>
          <w:szCs w:val="28"/>
        </w:rPr>
        <w:t>ПОЯСНЮВАЛЬНА ЗАПИСКА</w:t>
      </w:r>
    </w:p>
    <w:p w14:paraId="5784C5D0" w14:textId="6ECAEE44" w:rsidR="00201AA7" w:rsidRPr="00D5087C" w:rsidRDefault="00201AA7" w:rsidP="00201AA7">
      <w:pPr>
        <w:shd w:val="clear" w:color="auto" w:fill="FFFFFF"/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5087C">
        <w:rPr>
          <w:b/>
          <w:sz w:val="28"/>
          <w:szCs w:val="28"/>
        </w:rPr>
        <w:t>до проєкту наказу Міністерства розвитку громад та територій України</w:t>
      </w:r>
    </w:p>
    <w:p w14:paraId="1BA598F4" w14:textId="7E109089" w:rsidR="00201AA7" w:rsidRPr="00D5087C" w:rsidRDefault="00201AA7" w:rsidP="00201AA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5087C">
        <w:rPr>
          <w:rFonts w:ascii="Times New Roman" w:hAnsi="Times New Roman"/>
          <w:b/>
          <w:sz w:val="28"/>
          <w:szCs w:val="28"/>
        </w:rPr>
        <w:t>«</w:t>
      </w:r>
      <w:bookmarkStart w:id="0" w:name="_Hlk193274961"/>
      <w:r w:rsidR="00023179" w:rsidRPr="001863B5">
        <w:rPr>
          <w:rFonts w:ascii="Times New Roman" w:hAnsi="Times New Roman"/>
          <w:b/>
          <w:sz w:val="28"/>
          <w:szCs w:val="28"/>
        </w:rPr>
        <w:t>Про затвердження вичерпного п</w:t>
      </w:r>
      <w:r w:rsidR="00023179" w:rsidRPr="001863B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ереліку питань щодо дотримання вимог законодавства про автомобільний транспорт, який перевіряється під час  проведення рейдової перевірки посадовими особами Державної служби України з безпеки на транспорті</w:t>
      </w:r>
      <w:bookmarkEnd w:id="0"/>
      <w:r w:rsidRPr="00D5087C">
        <w:rPr>
          <w:rFonts w:ascii="Times New Roman" w:hAnsi="Times New Roman"/>
          <w:b/>
          <w:sz w:val="28"/>
          <w:szCs w:val="28"/>
        </w:rPr>
        <w:t>»</w:t>
      </w:r>
    </w:p>
    <w:p w14:paraId="3AE97AB2" w14:textId="77777777" w:rsidR="00201AA7" w:rsidRPr="00D5087C" w:rsidRDefault="00201AA7" w:rsidP="00201AA7">
      <w:pPr>
        <w:widowControl w:val="0"/>
        <w:ind w:firstLine="567"/>
        <w:jc w:val="both"/>
        <w:rPr>
          <w:b/>
          <w:sz w:val="28"/>
          <w:szCs w:val="28"/>
        </w:rPr>
      </w:pPr>
    </w:p>
    <w:p w14:paraId="2A14BF07" w14:textId="77777777" w:rsidR="00201AA7" w:rsidRPr="008014C4" w:rsidRDefault="00201AA7" w:rsidP="00201AA7">
      <w:pPr>
        <w:widowControl w:val="0"/>
        <w:ind w:firstLine="567"/>
        <w:jc w:val="both"/>
        <w:rPr>
          <w:b/>
          <w:sz w:val="27"/>
          <w:szCs w:val="27"/>
        </w:rPr>
      </w:pPr>
      <w:r w:rsidRPr="008014C4">
        <w:rPr>
          <w:b/>
          <w:sz w:val="27"/>
          <w:szCs w:val="27"/>
        </w:rPr>
        <w:t>1. Мета</w:t>
      </w:r>
    </w:p>
    <w:p w14:paraId="78F14A81" w14:textId="1FC3909A" w:rsidR="00201AA7" w:rsidRPr="008014C4" w:rsidRDefault="009820F8" w:rsidP="00201AA7">
      <w:pPr>
        <w:pStyle w:val="ae"/>
        <w:ind w:firstLine="567"/>
        <w:jc w:val="both"/>
        <w:rPr>
          <w:rFonts w:ascii="Times New Roman" w:hAnsi="Times New Roman"/>
          <w:sz w:val="27"/>
          <w:szCs w:val="27"/>
        </w:rPr>
      </w:pPr>
      <w:r w:rsidRPr="008014C4">
        <w:rPr>
          <w:rFonts w:ascii="Times New Roman" w:hAnsi="Times New Roman"/>
          <w:sz w:val="27"/>
          <w:szCs w:val="27"/>
        </w:rPr>
        <w:t xml:space="preserve">На </w:t>
      </w:r>
      <w:r w:rsidR="00CE49B8" w:rsidRPr="008014C4">
        <w:rPr>
          <w:rFonts w:ascii="Times New Roman" w:hAnsi="Times New Roman"/>
          <w:sz w:val="27"/>
          <w:szCs w:val="27"/>
        </w:rPr>
        <w:t>виконання</w:t>
      </w:r>
      <w:r w:rsidR="00201AA7" w:rsidRPr="008014C4">
        <w:rPr>
          <w:rFonts w:ascii="Times New Roman" w:hAnsi="Times New Roman"/>
          <w:sz w:val="27"/>
          <w:szCs w:val="27"/>
        </w:rPr>
        <w:t xml:space="preserve"> абзацу другого пункту 5 </w:t>
      </w:r>
      <w:r w:rsidR="00201AA7" w:rsidRPr="008014C4">
        <w:rPr>
          <w:rStyle w:val="rvts23"/>
          <w:rFonts w:ascii="Times New Roman" w:hAnsi="Times New Roman"/>
          <w:bCs/>
          <w:sz w:val="27"/>
          <w:szCs w:val="27"/>
        </w:rPr>
        <w:t xml:space="preserve">Порядку проведення рейдових перевірок (перевірок на дорозі), </w:t>
      </w:r>
      <w:r w:rsidR="00201AA7" w:rsidRPr="008014C4">
        <w:rPr>
          <w:rStyle w:val="rvts9"/>
          <w:rFonts w:ascii="Times New Roman" w:hAnsi="Times New Roman"/>
          <w:bCs/>
          <w:sz w:val="27"/>
          <w:szCs w:val="27"/>
          <w:shd w:val="clear" w:color="auto" w:fill="FFFFFF"/>
        </w:rPr>
        <w:t>затвердженого постановою Кабінету Міністрів України від 08 листопада 2006 р. № 1567 (</w:t>
      </w:r>
      <w:r w:rsidR="00201AA7" w:rsidRPr="008014C4">
        <w:rPr>
          <w:rFonts w:ascii="Times New Roman" w:hAnsi="Times New Roman"/>
          <w:sz w:val="27"/>
          <w:szCs w:val="27"/>
        </w:rPr>
        <w:t xml:space="preserve">в редакції постанови Кабінету Міністрів України  від 07 лютого 2025 р. № 141), </w:t>
      </w:r>
      <w:r w:rsidR="002A210C" w:rsidRPr="008014C4">
        <w:rPr>
          <w:rFonts w:ascii="Times New Roman" w:hAnsi="Times New Roman"/>
          <w:sz w:val="27"/>
          <w:szCs w:val="27"/>
        </w:rPr>
        <w:t xml:space="preserve">Державною службою України з безпеки на транспорті </w:t>
      </w:r>
      <w:r w:rsidR="00201AA7" w:rsidRPr="008014C4">
        <w:rPr>
          <w:rFonts w:ascii="Times New Roman" w:hAnsi="Times New Roman"/>
          <w:sz w:val="27"/>
          <w:szCs w:val="27"/>
        </w:rPr>
        <w:t>розроблено проєкт наказу Міністерства розвитку громад та територій України «</w:t>
      </w:r>
      <w:r w:rsidR="00360443" w:rsidRPr="00360443">
        <w:rPr>
          <w:rFonts w:ascii="Times New Roman" w:hAnsi="Times New Roman"/>
          <w:sz w:val="27"/>
          <w:szCs w:val="27"/>
        </w:rPr>
        <w:t xml:space="preserve">Про затвердження вичерпного переліку питань щодо дотримання вимог законодавства про автомобільний транспорт, який перевіряється під час  проведення рейдової перевірки посадовими особами </w:t>
      </w:r>
      <w:bookmarkStart w:id="1" w:name="_Hlk193275057"/>
      <w:r w:rsidR="00360443" w:rsidRPr="00360443">
        <w:rPr>
          <w:rFonts w:ascii="Times New Roman" w:hAnsi="Times New Roman"/>
          <w:sz w:val="27"/>
          <w:szCs w:val="27"/>
        </w:rPr>
        <w:t>Державної служби України з безпеки на транспорті</w:t>
      </w:r>
      <w:bookmarkEnd w:id="1"/>
      <w:r w:rsidR="00201AA7" w:rsidRPr="008014C4">
        <w:rPr>
          <w:rFonts w:ascii="Times New Roman" w:hAnsi="Times New Roman"/>
          <w:sz w:val="27"/>
          <w:szCs w:val="27"/>
        </w:rPr>
        <w:t>» (далі – проєкт акта)</w:t>
      </w:r>
      <w:r w:rsidRPr="008014C4">
        <w:rPr>
          <w:rFonts w:ascii="Times New Roman" w:hAnsi="Times New Roman"/>
          <w:sz w:val="27"/>
          <w:szCs w:val="27"/>
        </w:rPr>
        <w:t xml:space="preserve"> з</w:t>
      </w:r>
      <w:r w:rsidRPr="008014C4">
        <w:rPr>
          <w:rFonts w:ascii="Times New Roman" w:hAnsi="Times New Roman"/>
          <w:sz w:val="27"/>
          <w:szCs w:val="27"/>
        </w:rPr>
        <w:t xml:space="preserve"> метою забезпеч</w:t>
      </w:r>
      <w:r w:rsidR="00A117BA">
        <w:rPr>
          <w:rFonts w:ascii="Times New Roman" w:hAnsi="Times New Roman"/>
          <w:sz w:val="27"/>
          <w:szCs w:val="27"/>
        </w:rPr>
        <w:t>ення</w:t>
      </w:r>
      <w:r w:rsidRPr="008014C4">
        <w:rPr>
          <w:rFonts w:ascii="Times New Roman" w:hAnsi="Times New Roman"/>
          <w:sz w:val="27"/>
          <w:szCs w:val="27"/>
        </w:rPr>
        <w:t xml:space="preserve"> контрол</w:t>
      </w:r>
      <w:r w:rsidR="00A117BA">
        <w:rPr>
          <w:rFonts w:ascii="Times New Roman" w:hAnsi="Times New Roman"/>
          <w:sz w:val="27"/>
          <w:szCs w:val="27"/>
        </w:rPr>
        <w:t>ю</w:t>
      </w:r>
      <w:r w:rsidRPr="008014C4">
        <w:rPr>
          <w:rFonts w:ascii="Times New Roman" w:hAnsi="Times New Roman"/>
          <w:sz w:val="27"/>
          <w:szCs w:val="27"/>
        </w:rPr>
        <w:t xml:space="preserve"> за дотриманням автомобільними перевізниками вимог актів законодавства щодо здійснення автомобільних нерегулярних пасажирських перевезень</w:t>
      </w:r>
      <w:r w:rsidR="00D5087C" w:rsidRPr="008014C4">
        <w:rPr>
          <w:rFonts w:ascii="Times New Roman" w:hAnsi="Times New Roman"/>
          <w:sz w:val="27"/>
          <w:szCs w:val="27"/>
        </w:rPr>
        <w:t>.</w:t>
      </w:r>
    </w:p>
    <w:p w14:paraId="5BC42455" w14:textId="77777777" w:rsidR="00201AA7" w:rsidRPr="008014C4" w:rsidRDefault="00201AA7" w:rsidP="00201AA7">
      <w:pPr>
        <w:shd w:val="clear" w:color="auto" w:fill="FFFFFF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7"/>
          <w:szCs w:val="27"/>
        </w:rPr>
      </w:pPr>
    </w:p>
    <w:p w14:paraId="0EB2B942" w14:textId="77777777" w:rsidR="00201AA7" w:rsidRPr="008014C4" w:rsidRDefault="00201AA7" w:rsidP="00201AA7">
      <w:pPr>
        <w:widowControl w:val="0"/>
        <w:ind w:firstLine="567"/>
        <w:jc w:val="both"/>
        <w:rPr>
          <w:b/>
          <w:sz w:val="27"/>
          <w:szCs w:val="27"/>
        </w:rPr>
      </w:pPr>
      <w:r w:rsidRPr="008014C4">
        <w:rPr>
          <w:b/>
          <w:sz w:val="27"/>
          <w:szCs w:val="27"/>
        </w:rPr>
        <w:t>2</w:t>
      </w:r>
      <w:r w:rsidRPr="008014C4">
        <w:rPr>
          <w:sz w:val="27"/>
          <w:szCs w:val="27"/>
        </w:rPr>
        <w:t>. </w:t>
      </w:r>
      <w:r w:rsidRPr="008014C4">
        <w:rPr>
          <w:b/>
          <w:sz w:val="27"/>
          <w:szCs w:val="27"/>
        </w:rPr>
        <w:t>Обґрунтування необхідності прийняття акта</w:t>
      </w:r>
    </w:p>
    <w:p w14:paraId="78004938" w14:textId="42AEB1F4" w:rsidR="003E7641" w:rsidRPr="008014C4" w:rsidRDefault="00201AA7" w:rsidP="00201AA7">
      <w:pPr>
        <w:widowControl w:val="0"/>
        <w:ind w:firstLine="567"/>
        <w:jc w:val="both"/>
        <w:rPr>
          <w:bCs/>
          <w:sz w:val="27"/>
          <w:szCs w:val="27"/>
        </w:rPr>
      </w:pPr>
      <w:bookmarkStart w:id="2" w:name="n3488"/>
      <w:bookmarkEnd w:id="2"/>
      <w:r w:rsidRPr="008014C4">
        <w:rPr>
          <w:bCs/>
          <w:sz w:val="27"/>
          <w:szCs w:val="27"/>
        </w:rPr>
        <w:t xml:space="preserve">Проєкт акта спрямований на </w:t>
      </w:r>
      <w:r w:rsidR="003E7641" w:rsidRPr="008014C4">
        <w:rPr>
          <w:bCs/>
          <w:sz w:val="27"/>
          <w:szCs w:val="27"/>
        </w:rPr>
        <w:t xml:space="preserve">упорядкування </w:t>
      </w:r>
      <w:r w:rsidR="008235F0">
        <w:rPr>
          <w:bCs/>
          <w:sz w:val="27"/>
          <w:szCs w:val="27"/>
        </w:rPr>
        <w:t>п</w:t>
      </w:r>
      <w:r w:rsidR="003E7641" w:rsidRPr="008014C4">
        <w:rPr>
          <w:bCs/>
          <w:sz w:val="27"/>
          <w:szCs w:val="27"/>
        </w:rPr>
        <w:t xml:space="preserve">ереліку питань щодо дотримання вимог законодавства про автомобільний транспорт, який перевіряється під час проведення рейдової перевірки посадовими особами </w:t>
      </w:r>
      <w:r w:rsidR="008235F0" w:rsidRPr="008235F0">
        <w:rPr>
          <w:bCs/>
          <w:sz w:val="27"/>
          <w:szCs w:val="27"/>
        </w:rPr>
        <w:t>Державної служби України з безпеки на транспорті</w:t>
      </w:r>
      <w:r w:rsidR="003E7641" w:rsidRPr="008014C4">
        <w:rPr>
          <w:bCs/>
          <w:sz w:val="27"/>
          <w:szCs w:val="27"/>
        </w:rPr>
        <w:t xml:space="preserve">. </w:t>
      </w:r>
    </w:p>
    <w:p w14:paraId="06BE886A" w14:textId="4EFF6852" w:rsidR="00AC708E" w:rsidRPr="008014C4" w:rsidRDefault="00AC708E" w:rsidP="00AC708E">
      <w:pPr>
        <w:widowControl w:val="0"/>
        <w:ind w:firstLine="567"/>
        <w:jc w:val="both"/>
        <w:rPr>
          <w:bCs/>
          <w:sz w:val="27"/>
          <w:szCs w:val="27"/>
        </w:rPr>
      </w:pPr>
      <w:r w:rsidRPr="008014C4">
        <w:rPr>
          <w:bCs/>
          <w:sz w:val="27"/>
          <w:szCs w:val="27"/>
        </w:rPr>
        <w:t>Статт</w:t>
      </w:r>
      <w:r w:rsidR="00107019" w:rsidRPr="008014C4">
        <w:rPr>
          <w:bCs/>
          <w:sz w:val="27"/>
          <w:szCs w:val="27"/>
        </w:rPr>
        <w:t>ями</w:t>
      </w:r>
      <w:r w:rsidRPr="008014C4">
        <w:rPr>
          <w:bCs/>
          <w:sz w:val="27"/>
          <w:szCs w:val="27"/>
        </w:rPr>
        <w:t xml:space="preserve"> 39 та 48 Закону України «Про автомобільний транспорт» </w:t>
      </w:r>
      <w:r w:rsidR="00107019" w:rsidRPr="008014C4">
        <w:rPr>
          <w:bCs/>
          <w:sz w:val="27"/>
          <w:szCs w:val="27"/>
        </w:rPr>
        <w:t xml:space="preserve">встановлено перелік </w:t>
      </w:r>
      <w:r w:rsidR="00107019" w:rsidRPr="008014C4">
        <w:rPr>
          <w:sz w:val="27"/>
          <w:szCs w:val="27"/>
          <w:shd w:val="clear" w:color="auto" w:fill="FFFFFF"/>
        </w:rPr>
        <w:t xml:space="preserve">документів, на підставі яких виконуються пасажирські та вантажні перевезення. </w:t>
      </w:r>
      <w:r w:rsidR="006367D5" w:rsidRPr="008014C4">
        <w:rPr>
          <w:sz w:val="27"/>
          <w:szCs w:val="27"/>
          <w:shd w:val="clear" w:color="auto" w:fill="FFFFFF"/>
        </w:rPr>
        <w:t xml:space="preserve">Окрім встановленого, </w:t>
      </w:r>
      <w:r w:rsidRPr="008014C4">
        <w:rPr>
          <w:bCs/>
          <w:sz w:val="27"/>
          <w:szCs w:val="27"/>
        </w:rPr>
        <w:t>містять</w:t>
      </w:r>
      <w:r w:rsidR="006367D5" w:rsidRPr="008014C4">
        <w:rPr>
          <w:bCs/>
          <w:sz w:val="27"/>
          <w:szCs w:val="27"/>
        </w:rPr>
        <w:t xml:space="preserve">ся </w:t>
      </w:r>
      <w:r w:rsidRPr="008014C4">
        <w:rPr>
          <w:bCs/>
          <w:sz w:val="27"/>
          <w:szCs w:val="27"/>
        </w:rPr>
        <w:t xml:space="preserve"> посилання на інші документи, передбачені законодавством України.</w:t>
      </w:r>
    </w:p>
    <w:p w14:paraId="6F6BCE49" w14:textId="40DFC10E" w:rsidR="00AC708E" w:rsidRPr="008014C4" w:rsidRDefault="00AC708E" w:rsidP="00AC708E">
      <w:pPr>
        <w:widowControl w:val="0"/>
        <w:ind w:firstLine="567"/>
        <w:jc w:val="both"/>
        <w:rPr>
          <w:bCs/>
          <w:sz w:val="27"/>
          <w:szCs w:val="27"/>
        </w:rPr>
      </w:pPr>
      <w:bookmarkStart w:id="3" w:name="n496"/>
      <w:bookmarkStart w:id="4" w:name="n530"/>
      <w:bookmarkStart w:id="5" w:name="n531"/>
      <w:bookmarkEnd w:id="3"/>
      <w:bookmarkEnd w:id="4"/>
      <w:bookmarkEnd w:id="5"/>
      <w:r w:rsidRPr="008014C4">
        <w:rPr>
          <w:bCs/>
          <w:sz w:val="27"/>
          <w:szCs w:val="27"/>
        </w:rPr>
        <w:t>З мето</w:t>
      </w:r>
      <w:r w:rsidR="0076269F" w:rsidRPr="008014C4">
        <w:rPr>
          <w:bCs/>
          <w:sz w:val="27"/>
          <w:szCs w:val="27"/>
        </w:rPr>
        <w:t>ю</w:t>
      </w:r>
      <w:r w:rsidRPr="008014C4">
        <w:rPr>
          <w:bCs/>
          <w:sz w:val="27"/>
          <w:szCs w:val="27"/>
        </w:rPr>
        <w:t xml:space="preserve"> уникнення маніпулювання щодо віднесення документів передбачених законодавством</w:t>
      </w:r>
      <w:r w:rsidR="0076269F" w:rsidRPr="008014C4">
        <w:rPr>
          <w:bCs/>
          <w:sz w:val="27"/>
          <w:szCs w:val="27"/>
        </w:rPr>
        <w:t>,</w:t>
      </w:r>
      <w:r w:rsidRPr="008014C4">
        <w:rPr>
          <w:bCs/>
          <w:sz w:val="27"/>
          <w:szCs w:val="27"/>
        </w:rPr>
        <w:t xml:space="preserve"> які повинні мати водії під час здійснення пасажирських та вантажних перевезень до інших документів. </w:t>
      </w:r>
    </w:p>
    <w:p w14:paraId="5683F3DE" w14:textId="3E1DDF1E" w:rsidR="00AC708E" w:rsidRPr="008014C4" w:rsidRDefault="00AC708E" w:rsidP="00AC708E">
      <w:pPr>
        <w:widowControl w:val="0"/>
        <w:ind w:firstLine="567"/>
        <w:jc w:val="both"/>
        <w:rPr>
          <w:bCs/>
          <w:sz w:val="27"/>
          <w:szCs w:val="27"/>
        </w:rPr>
      </w:pPr>
      <w:r w:rsidRPr="008014C4">
        <w:rPr>
          <w:bCs/>
          <w:sz w:val="27"/>
          <w:szCs w:val="27"/>
        </w:rPr>
        <w:t>Отже, є необхідність врегулювати зазначене питання шляхом розроблення вичерпного переліку питань щодо дотримання вимог законодавства про автомобільний транспорт, який перевіряється під час проведення рейдової перевірки посадовими особами.</w:t>
      </w:r>
    </w:p>
    <w:p w14:paraId="0A87189C" w14:textId="77777777" w:rsidR="00201AA7" w:rsidRPr="008014C4" w:rsidRDefault="00201AA7" w:rsidP="00201AA7">
      <w:pPr>
        <w:pStyle w:val="rvps2"/>
        <w:widowControl w:val="0"/>
        <w:shd w:val="clear" w:color="auto" w:fill="FFFFFF"/>
        <w:tabs>
          <w:tab w:val="left" w:pos="480"/>
        </w:tabs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</w:p>
    <w:p w14:paraId="7BC7CC5E" w14:textId="77777777" w:rsidR="00201AA7" w:rsidRPr="008014C4" w:rsidRDefault="00201AA7" w:rsidP="00201AA7">
      <w:pPr>
        <w:pStyle w:val="ae"/>
        <w:widowControl w:val="0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8014C4">
        <w:rPr>
          <w:rFonts w:ascii="Times New Roman" w:hAnsi="Times New Roman"/>
          <w:b/>
          <w:sz w:val="27"/>
          <w:szCs w:val="27"/>
        </w:rPr>
        <w:t xml:space="preserve">3. </w:t>
      </w:r>
      <w:r w:rsidRPr="008014C4">
        <w:rPr>
          <w:rFonts w:ascii="Times New Roman" w:eastAsia="Times New Roman" w:hAnsi="Times New Roman"/>
          <w:b/>
          <w:bCs/>
          <w:sz w:val="27"/>
          <w:szCs w:val="27"/>
          <w:lang w:eastAsia="uk-UA"/>
        </w:rPr>
        <w:t>Основні положення проекту акта</w:t>
      </w:r>
    </w:p>
    <w:p w14:paraId="3AF83F17" w14:textId="10FE482C" w:rsidR="00201AA7" w:rsidRPr="008014C4" w:rsidRDefault="00201AA7" w:rsidP="00201AA7">
      <w:pPr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 xml:space="preserve">Проєктом акта </w:t>
      </w:r>
      <w:r w:rsidR="00876231" w:rsidRPr="008014C4">
        <w:rPr>
          <w:sz w:val="27"/>
          <w:szCs w:val="27"/>
        </w:rPr>
        <w:t xml:space="preserve">передбачається </w:t>
      </w:r>
      <w:r w:rsidR="00AC708E" w:rsidRPr="008014C4">
        <w:rPr>
          <w:sz w:val="27"/>
          <w:szCs w:val="27"/>
        </w:rPr>
        <w:t xml:space="preserve">затвердити </w:t>
      </w:r>
      <w:r w:rsidR="00AC708E" w:rsidRPr="008014C4">
        <w:rPr>
          <w:bCs/>
          <w:sz w:val="27"/>
          <w:szCs w:val="27"/>
        </w:rPr>
        <w:t>перелік питань щодо дотримання вимог законодавства про автомобільний транспорт, який перевіряється під час проведення рейдової перевірки посадовими особами Укртрансбезпеки</w:t>
      </w:r>
      <w:r w:rsidRPr="008014C4">
        <w:rPr>
          <w:sz w:val="27"/>
          <w:szCs w:val="27"/>
        </w:rPr>
        <w:t>.</w:t>
      </w:r>
    </w:p>
    <w:p w14:paraId="60992274" w14:textId="77777777" w:rsidR="00201AA7" w:rsidRPr="008014C4" w:rsidRDefault="00201AA7" w:rsidP="00201AA7">
      <w:pPr>
        <w:widowControl w:val="0"/>
        <w:ind w:firstLine="567"/>
        <w:jc w:val="both"/>
        <w:rPr>
          <w:rStyle w:val="rvts9"/>
          <w:rFonts w:eastAsiaTheme="majorEastAsia"/>
          <w:bCs/>
          <w:sz w:val="27"/>
          <w:szCs w:val="27"/>
          <w:shd w:val="clear" w:color="auto" w:fill="FFFFFF"/>
        </w:rPr>
      </w:pPr>
    </w:p>
    <w:p w14:paraId="6DCBB8D2" w14:textId="77777777" w:rsidR="00201AA7" w:rsidRPr="008014C4" w:rsidRDefault="00201AA7" w:rsidP="00201AA7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b/>
          <w:sz w:val="27"/>
          <w:szCs w:val="27"/>
        </w:rPr>
        <w:t>4</w:t>
      </w:r>
      <w:r w:rsidRPr="008014C4">
        <w:rPr>
          <w:sz w:val="27"/>
          <w:szCs w:val="27"/>
        </w:rPr>
        <w:t xml:space="preserve">. </w:t>
      </w:r>
      <w:r w:rsidRPr="008014C4">
        <w:rPr>
          <w:b/>
          <w:bCs/>
          <w:sz w:val="27"/>
          <w:szCs w:val="27"/>
        </w:rPr>
        <w:t>Правові аспекти</w:t>
      </w:r>
    </w:p>
    <w:p w14:paraId="3B7E33B8" w14:textId="77777777" w:rsidR="00201AA7" w:rsidRPr="008014C4" w:rsidRDefault="00201AA7" w:rsidP="00201AA7">
      <w:pPr>
        <w:shd w:val="clear" w:color="auto" w:fill="FFFFFF"/>
        <w:ind w:firstLine="567"/>
        <w:jc w:val="both"/>
        <w:rPr>
          <w:sz w:val="27"/>
          <w:szCs w:val="27"/>
          <w:lang w:eastAsia="ru-RU"/>
        </w:rPr>
      </w:pPr>
      <w:r w:rsidRPr="008014C4">
        <w:rPr>
          <w:sz w:val="27"/>
          <w:szCs w:val="27"/>
          <w:lang w:eastAsia="ru-RU"/>
        </w:rPr>
        <w:t>У цій сфері правових відносин діють такі нормативно-правові акти:</w:t>
      </w:r>
    </w:p>
    <w:p w14:paraId="7392F52E" w14:textId="190F5A89" w:rsidR="00201AA7" w:rsidRPr="008014C4" w:rsidRDefault="00201AA7" w:rsidP="00201AA7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sz w:val="27"/>
          <w:szCs w:val="27"/>
        </w:rPr>
        <w:t>Закон України «Про автомобільний транспорт»;</w:t>
      </w:r>
    </w:p>
    <w:p w14:paraId="7D10FA81" w14:textId="441BE8F5" w:rsidR="00876231" w:rsidRPr="008014C4" w:rsidRDefault="00876231" w:rsidP="00201AA7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sz w:val="27"/>
          <w:szCs w:val="27"/>
        </w:rPr>
        <w:t>Закон України «Про дорожній рух»;</w:t>
      </w:r>
    </w:p>
    <w:p w14:paraId="7DC4E8A6" w14:textId="61203E83" w:rsidR="00876231" w:rsidRPr="008014C4" w:rsidRDefault="00876231" w:rsidP="00201AA7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sz w:val="27"/>
          <w:szCs w:val="27"/>
        </w:rPr>
        <w:lastRenderedPageBreak/>
        <w:t>Закон України «Про обов’язкове страхування цивільно-правової відповідальності власників наземних транспортних засобів»;</w:t>
      </w:r>
    </w:p>
    <w:p w14:paraId="2D0B246C" w14:textId="3F7290AD" w:rsidR="007C5C23" w:rsidRPr="008014C4" w:rsidRDefault="007C5C23" w:rsidP="00201AA7">
      <w:pPr>
        <w:widowControl w:val="0"/>
        <w:ind w:firstLine="567"/>
        <w:contextualSpacing/>
        <w:jc w:val="both"/>
        <w:rPr>
          <w:rFonts w:eastAsia="Calibri"/>
          <w:sz w:val="27"/>
          <w:szCs w:val="27"/>
          <w:lang w:eastAsia="en-US"/>
        </w:rPr>
      </w:pPr>
      <w:r w:rsidRPr="008014C4">
        <w:rPr>
          <w:bCs/>
          <w:sz w:val="27"/>
          <w:szCs w:val="27"/>
          <w:shd w:val="clear" w:color="auto" w:fill="FFFFFF"/>
        </w:rPr>
        <w:t xml:space="preserve">Норми оснащення вогнегасниками колісних транспортних засобів, затверджені </w:t>
      </w:r>
      <w:r w:rsidRPr="008014C4">
        <w:rPr>
          <w:rFonts w:eastAsia="Calibri"/>
          <w:sz w:val="27"/>
          <w:szCs w:val="27"/>
          <w:lang w:eastAsia="en-US"/>
        </w:rPr>
        <w:t>постановою Кабінету Міністрів України від 08 жовтня 1997 р. № 1128;</w:t>
      </w:r>
    </w:p>
    <w:p w14:paraId="388D7D2D" w14:textId="77777777" w:rsidR="007C5C23" w:rsidRPr="008014C4" w:rsidRDefault="007C5C23" w:rsidP="007C5C23">
      <w:pPr>
        <w:widowControl w:val="0"/>
        <w:ind w:firstLine="567"/>
        <w:contextualSpacing/>
        <w:jc w:val="both"/>
        <w:rPr>
          <w:sz w:val="27"/>
          <w:szCs w:val="27"/>
          <w:lang w:eastAsia="ru-RU"/>
        </w:rPr>
      </w:pPr>
      <w:r w:rsidRPr="008014C4">
        <w:rPr>
          <w:bCs/>
          <w:sz w:val="27"/>
          <w:szCs w:val="27"/>
          <w:lang w:eastAsia="ru-RU"/>
        </w:rPr>
        <w:t>Порядок здійснення габаритно-вагового контролю та справляння плати за проїзд автомобільними дорогами загального користування транспортних засобів та інших самохідних машин і механізмів, вагові та/або габаритні параметри яких перевищують нормативні, затверджений постановою Кабінету Міністрів України від 27 червня 2007 р. № 879;</w:t>
      </w:r>
    </w:p>
    <w:p w14:paraId="09DA4EA6" w14:textId="77777777" w:rsidR="00CE49B8" w:rsidRPr="008014C4" w:rsidRDefault="007C5C23" w:rsidP="00564DB1">
      <w:pPr>
        <w:widowControl w:val="0"/>
        <w:ind w:firstLine="567"/>
        <w:contextualSpacing/>
        <w:jc w:val="both"/>
        <w:rPr>
          <w:sz w:val="27"/>
          <w:szCs w:val="27"/>
        </w:rPr>
      </w:pPr>
      <w:hyperlink r:id="rId7" w:tgtFrame="_blank" w:history="1">
        <w:r w:rsidRPr="008014C4">
          <w:rPr>
            <w:sz w:val="27"/>
            <w:szCs w:val="27"/>
            <w:lang w:eastAsia="ru-RU"/>
          </w:rPr>
          <w:t>Правил</w:t>
        </w:r>
        <w:r w:rsidRPr="008014C4">
          <w:rPr>
            <w:sz w:val="27"/>
            <w:szCs w:val="27"/>
            <w:lang w:val="ru-RU" w:eastAsia="ru-RU"/>
          </w:rPr>
          <w:t>а</w:t>
        </w:r>
        <w:r w:rsidRPr="008014C4">
          <w:rPr>
            <w:sz w:val="27"/>
            <w:szCs w:val="27"/>
            <w:lang w:eastAsia="ru-RU"/>
          </w:rPr>
          <w:t xml:space="preserve"> надання послуг пасажирського автомобільного транспорту</w:t>
        </w:r>
      </w:hyperlink>
      <w:r w:rsidRPr="008014C4">
        <w:rPr>
          <w:sz w:val="27"/>
          <w:szCs w:val="27"/>
          <w:lang w:eastAsia="ru-RU"/>
        </w:rPr>
        <w:t>, затверджені постановою Кабінету Міністрів України від 18 лютого 1997 р. № 176</w:t>
      </w:r>
      <w:r w:rsidRPr="008014C4">
        <w:rPr>
          <w:sz w:val="27"/>
          <w:szCs w:val="27"/>
        </w:rPr>
        <w:t>;</w:t>
      </w:r>
    </w:p>
    <w:p w14:paraId="556BBB94" w14:textId="396F9CAC" w:rsidR="00564DB1" w:rsidRPr="008014C4" w:rsidRDefault="00564DB1" w:rsidP="00564DB1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sz w:val="27"/>
          <w:szCs w:val="27"/>
        </w:rPr>
        <w:t>Європейська угоди щодо роботи екіпажів транспортних засобів, які  виконують міжнародні  автомобільні перевезення;</w:t>
      </w:r>
    </w:p>
    <w:p w14:paraId="6FEDA98A" w14:textId="0F8659E0" w:rsidR="00564DB1" w:rsidRPr="008014C4" w:rsidRDefault="00564DB1" w:rsidP="00564DB1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sz w:val="27"/>
          <w:szCs w:val="27"/>
        </w:rPr>
        <w:t>Угода про міжнародні перевезення швидкопсувних харчових продуктів та про спеціальні транспортні засоби, які призначені для цих перевезень;</w:t>
      </w:r>
    </w:p>
    <w:p w14:paraId="38FBF2F1" w14:textId="5665A480" w:rsidR="00564DB1" w:rsidRPr="008014C4" w:rsidRDefault="00564DB1" w:rsidP="00564DB1">
      <w:pPr>
        <w:widowControl w:val="0"/>
        <w:ind w:firstLine="567"/>
        <w:contextualSpacing/>
        <w:jc w:val="both"/>
        <w:rPr>
          <w:bCs/>
          <w:sz w:val="27"/>
          <w:szCs w:val="27"/>
        </w:rPr>
      </w:pPr>
      <w:r w:rsidRPr="008014C4">
        <w:rPr>
          <w:sz w:val="27"/>
          <w:szCs w:val="27"/>
        </w:rPr>
        <w:t xml:space="preserve">Угода між Україною та </w:t>
      </w:r>
      <w:r w:rsidRPr="008014C4">
        <w:rPr>
          <w:bCs/>
          <w:sz w:val="27"/>
          <w:szCs w:val="27"/>
        </w:rPr>
        <w:t>Європейським Союзом про вантажні перевезення автомобільним транспортом;</w:t>
      </w:r>
    </w:p>
    <w:p w14:paraId="00643BB8" w14:textId="6CADF266" w:rsidR="00564DB1" w:rsidRPr="008014C4" w:rsidRDefault="00564DB1" w:rsidP="00564DB1">
      <w:pPr>
        <w:widowControl w:val="0"/>
        <w:ind w:firstLine="567"/>
        <w:contextualSpacing/>
        <w:jc w:val="both"/>
        <w:rPr>
          <w:bCs/>
          <w:sz w:val="27"/>
          <w:szCs w:val="27"/>
        </w:rPr>
      </w:pPr>
      <w:r w:rsidRPr="008014C4">
        <w:rPr>
          <w:bCs/>
          <w:sz w:val="27"/>
          <w:szCs w:val="27"/>
        </w:rPr>
        <w:t>Резолюція Європейської Конференції Міністрів Транспорту (з 2008 року - Міжнародний транспортний форум), що регламентують здійснення перевезень вантажів на підставі дозвільних документів ЄКМТ;</w:t>
      </w:r>
    </w:p>
    <w:p w14:paraId="5EF7316B" w14:textId="4E20C214" w:rsidR="00AC708E" w:rsidRPr="008014C4" w:rsidRDefault="00AC708E" w:rsidP="00AC708E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sz w:val="27"/>
          <w:szCs w:val="27"/>
        </w:rPr>
        <w:t>Інструкція з використання контрольних пристроїв (тахографів) на автомобільному транспорті, затверджена наказом Міністерства транспорту та зв’язку України від 24</w:t>
      </w:r>
      <w:r w:rsidR="009F36C2" w:rsidRPr="008014C4">
        <w:rPr>
          <w:sz w:val="27"/>
          <w:szCs w:val="27"/>
        </w:rPr>
        <w:t xml:space="preserve"> червня </w:t>
      </w:r>
      <w:r w:rsidRPr="008014C4">
        <w:rPr>
          <w:sz w:val="27"/>
          <w:szCs w:val="27"/>
        </w:rPr>
        <w:t xml:space="preserve">2010 </w:t>
      </w:r>
      <w:r w:rsidR="009F36C2" w:rsidRPr="008014C4">
        <w:rPr>
          <w:sz w:val="27"/>
          <w:szCs w:val="27"/>
        </w:rPr>
        <w:t xml:space="preserve"> р. </w:t>
      </w:r>
      <w:r w:rsidRPr="008014C4">
        <w:rPr>
          <w:sz w:val="27"/>
          <w:szCs w:val="27"/>
        </w:rPr>
        <w:t>№ 385</w:t>
      </w:r>
      <w:r w:rsidR="009F36C2" w:rsidRPr="008014C4">
        <w:rPr>
          <w:sz w:val="27"/>
          <w:szCs w:val="27"/>
        </w:rPr>
        <w:t xml:space="preserve">, </w:t>
      </w:r>
      <w:r w:rsidR="009820F8" w:rsidRPr="008014C4">
        <w:rPr>
          <w:sz w:val="27"/>
          <w:szCs w:val="27"/>
        </w:rPr>
        <w:t>зареєстрована</w:t>
      </w:r>
      <w:r w:rsidR="009F36C2" w:rsidRPr="008014C4">
        <w:rPr>
          <w:sz w:val="27"/>
          <w:szCs w:val="27"/>
        </w:rPr>
        <w:t xml:space="preserve"> в Міністерстві юстиції України 20 жовтня 2010 р. за № 946/18241;</w:t>
      </w:r>
    </w:p>
    <w:p w14:paraId="24A0DD21" w14:textId="42EDB408" w:rsidR="00AC708E" w:rsidRPr="008014C4" w:rsidRDefault="00AC708E" w:rsidP="00AC708E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sz w:val="27"/>
          <w:szCs w:val="27"/>
        </w:rPr>
        <w:t>Положення про робочий час і час відпочинку водіїв колісних транспортних засобів, затверджен</w:t>
      </w:r>
      <w:r w:rsidR="009F36C2" w:rsidRPr="008014C4">
        <w:rPr>
          <w:sz w:val="27"/>
          <w:szCs w:val="27"/>
        </w:rPr>
        <w:t>е</w:t>
      </w:r>
      <w:r w:rsidRPr="008014C4">
        <w:rPr>
          <w:sz w:val="27"/>
          <w:szCs w:val="27"/>
        </w:rPr>
        <w:t xml:space="preserve"> наказом Міністерства транспорту та зв’язку України від 07</w:t>
      </w:r>
      <w:r w:rsidR="009F36C2" w:rsidRPr="008014C4">
        <w:rPr>
          <w:sz w:val="27"/>
          <w:szCs w:val="27"/>
        </w:rPr>
        <w:t xml:space="preserve"> червня </w:t>
      </w:r>
      <w:r w:rsidRPr="008014C4">
        <w:rPr>
          <w:sz w:val="27"/>
          <w:szCs w:val="27"/>
        </w:rPr>
        <w:t xml:space="preserve">2010 </w:t>
      </w:r>
      <w:r w:rsidR="009F36C2" w:rsidRPr="008014C4">
        <w:rPr>
          <w:sz w:val="27"/>
          <w:szCs w:val="27"/>
        </w:rPr>
        <w:t xml:space="preserve">р. </w:t>
      </w:r>
      <w:r w:rsidRPr="008014C4">
        <w:rPr>
          <w:sz w:val="27"/>
          <w:szCs w:val="27"/>
        </w:rPr>
        <w:t>№ 340</w:t>
      </w:r>
      <w:r w:rsidR="009F36C2" w:rsidRPr="008014C4">
        <w:rPr>
          <w:sz w:val="27"/>
          <w:szCs w:val="27"/>
        </w:rPr>
        <w:t>, зареєстроване в Міністерстві юстиції України 14 вересня 2010 р. за № 811/18106;</w:t>
      </w:r>
    </w:p>
    <w:p w14:paraId="79C3A2A5" w14:textId="7A426FA4" w:rsidR="00AC708E" w:rsidRPr="008014C4" w:rsidRDefault="00AC708E" w:rsidP="00AC708E">
      <w:pPr>
        <w:widowControl w:val="0"/>
        <w:ind w:firstLine="567"/>
        <w:contextualSpacing/>
        <w:jc w:val="both"/>
        <w:rPr>
          <w:sz w:val="27"/>
          <w:szCs w:val="27"/>
        </w:rPr>
      </w:pPr>
      <w:r w:rsidRPr="008014C4">
        <w:rPr>
          <w:sz w:val="27"/>
          <w:szCs w:val="27"/>
        </w:rPr>
        <w:t xml:space="preserve">Правила перевезень вантажів автомобільним транспортом в Україні, затверджені наказом Міністерства </w:t>
      </w:r>
      <w:r w:rsidR="007E0210" w:rsidRPr="008014C4">
        <w:rPr>
          <w:sz w:val="27"/>
          <w:szCs w:val="27"/>
        </w:rPr>
        <w:t xml:space="preserve">транспорту </w:t>
      </w:r>
      <w:r w:rsidRPr="008014C4">
        <w:rPr>
          <w:sz w:val="27"/>
          <w:szCs w:val="27"/>
        </w:rPr>
        <w:t>України від 14</w:t>
      </w:r>
      <w:r w:rsidR="007E0210" w:rsidRPr="008014C4">
        <w:rPr>
          <w:sz w:val="27"/>
          <w:szCs w:val="27"/>
        </w:rPr>
        <w:t xml:space="preserve"> жовтня </w:t>
      </w:r>
      <w:r w:rsidRPr="008014C4">
        <w:rPr>
          <w:sz w:val="27"/>
          <w:szCs w:val="27"/>
        </w:rPr>
        <w:t xml:space="preserve">1997 </w:t>
      </w:r>
      <w:r w:rsidR="007E0210" w:rsidRPr="008014C4">
        <w:rPr>
          <w:sz w:val="27"/>
          <w:szCs w:val="27"/>
        </w:rPr>
        <w:t xml:space="preserve">р. </w:t>
      </w:r>
      <w:r w:rsidRPr="008014C4">
        <w:rPr>
          <w:sz w:val="27"/>
          <w:szCs w:val="27"/>
        </w:rPr>
        <w:t>№ 363</w:t>
      </w:r>
      <w:r w:rsidR="007E0210" w:rsidRPr="008014C4">
        <w:rPr>
          <w:sz w:val="27"/>
          <w:szCs w:val="27"/>
        </w:rPr>
        <w:t>, зареєстровані в Міністерстві юстиції України 20 лютого 1998 р. за № 128/2568.</w:t>
      </w:r>
    </w:p>
    <w:p w14:paraId="6A2F5A3D" w14:textId="77777777" w:rsidR="00201AA7" w:rsidRPr="008014C4" w:rsidRDefault="00201AA7" w:rsidP="00201AA7">
      <w:pPr>
        <w:widowControl w:val="0"/>
        <w:contextualSpacing/>
        <w:jc w:val="both"/>
        <w:rPr>
          <w:b/>
          <w:sz w:val="27"/>
          <w:szCs w:val="27"/>
        </w:rPr>
      </w:pPr>
    </w:p>
    <w:p w14:paraId="35A5B9D1" w14:textId="77777777" w:rsidR="00201AA7" w:rsidRPr="008014C4" w:rsidRDefault="00201AA7" w:rsidP="00201AA7">
      <w:pPr>
        <w:widowControl w:val="0"/>
        <w:ind w:firstLine="567"/>
        <w:contextualSpacing/>
        <w:jc w:val="both"/>
        <w:rPr>
          <w:b/>
          <w:sz w:val="27"/>
          <w:szCs w:val="27"/>
        </w:rPr>
      </w:pPr>
      <w:r w:rsidRPr="008014C4">
        <w:rPr>
          <w:b/>
          <w:sz w:val="27"/>
          <w:szCs w:val="27"/>
        </w:rPr>
        <w:t xml:space="preserve">5. </w:t>
      </w:r>
      <w:r w:rsidRPr="008014C4">
        <w:rPr>
          <w:b/>
          <w:bCs/>
          <w:sz w:val="27"/>
          <w:szCs w:val="27"/>
        </w:rPr>
        <w:t>Фінансово-економічне обґрунтування</w:t>
      </w:r>
    </w:p>
    <w:p w14:paraId="41E1257D" w14:textId="77777777" w:rsidR="007E0210" w:rsidRPr="008014C4" w:rsidRDefault="007E0210" w:rsidP="007E0210">
      <w:pPr>
        <w:widowControl w:val="0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 xml:space="preserve">Реалізація акта не </w:t>
      </w:r>
      <w:r w:rsidRPr="008014C4">
        <w:rPr>
          <w:sz w:val="27"/>
          <w:szCs w:val="27"/>
          <w:shd w:val="clear" w:color="auto" w:fill="FFFFFF"/>
        </w:rPr>
        <w:t>потребує додаткового фінансування з державного чи місцевих бюджетів</w:t>
      </w:r>
      <w:r w:rsidRPr="008014C4">
        <w:rPr>
          <w:sz w:val="27"/>
          <w:szCs w:val="27"/>
        </w:rPr>
        <w:t xml:space="preserve">. </w:t>
      </w:r>
    </w:p>
    <w:p w14:paraId="05E3EC8E" w14:textId="77777777" w:rsidR="00201AA7" w:rsidRPr="008014C4" w:rsidRDefault="00201AA7" w:rsidP="00201AA7">
      <w:pPr>
        <w:ind w:firstLine="567"/>
        <w:contextualSpacing/>
        <w:jc w:val="both"/>
        <w:rPr>
          <w:b/>
          <w:sz w:val="27"/>
          <w:szCs w:val="27"/>
        </w:rPr>
      </w:pPr>
    </w:p>
    <w:p w14:paraId="13F6B62A" w14:textId="77777777" w:rsidR="00201AA7" w:rsidRPr="008014C4" w:rsidRDefault="00201AA7" w:rsidP="00201AA7">
      <w:pPr>
        <w:ind w:firstLine="567"/>
        <w:contextualSpacing/>
        <w:jc w:val="both"/>
        <w:rPr>
          <w:b/>
          <w:sz w:val="27"/>
          <w:szCs w:val="27"/>
        </w:rPr>
      </w:pPr>
      <w:r w:rsidRPr="008014C4">
        <w:rPr>
          <w:b/>
          <w:sz w:val="27"/>
          <w:szCs w:val="27"/>
        </w:rPr>
        <w:t>6. Позиція заінтересованих сторін</w:t>
      </w:r>
    </w:p>
    <w:p w14:paraId="7AB73408" w14:textId="77777777" w:rsidR="00201AA7" w:rsidRPr="008014C4" w:rsidRDefault="00201AA7" w:rsidP="00201AA7">
      <w:pPr>
        <w:pStyle w:val="ae"/>
        <w:ind w:firstLine="567"/>
        <w:jc w:val="both"/>
        <w:rPr>
          <w:rFonts w:ascii="Times New Roman" w:hAnsi="Times New Roman"/>
          <w:sz w:val="27"/>
          <w:szCs w:val="27"/>
        </w:rPr>
      </w:pPr>
      <w:r w:rsidRPr="008014C4">
        <w:rPr>
          <w:rFonts w:ascii="Times New Roman" w:hAnsi="Times New Roman"/>
          <w:sz w:val="27"/>
          <w:szCs w:val="27"/>
        </w:rPr>
        <w:t xml:space="preserve">Проєкт акта не потребує громадського обговорення, що здійснюється відповідно до вимог </w:t>
      </w:r>
      <w:hyperlink r:id="rId8" w:anchor="n30" w:tgtFrame="_blank" w:history="1">
        <w:r w:rsidRPr="008014C4">
          <w:rPr>
            <w:rFonts w:ascii="Times New Roman" w:hAnsi="Times New Roman"/>
            <w:sz w:val="27"/>
            <w:szCs w:val="27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8014C4">
        <w:rPr>
          <w:rFonts w:ascii="Times New Roman" w:hAnsi="Times New Roman"/>
          <w:sz w:val="27"/>
          <w:szCs w:val="27"/>
        </w:rPr>
        <w:t>, затвердженого постановою Кабінету Міністрів від 03 листопада 2010 р. № 996.</w:t>
      </w:r>
    </w:p>
    <w:p w14:paraId="615421BF" w14:textId="77777777" w:rsidR="00201AA7" w:rsidRPr="008014C4" w:rsidRDefault="00201AA7" w:rsidP="00201A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 чи </w:t>
      </w:r>
      <w:r w:rsidRPr="008014C4">
        <w:rPr>
          <w:sz w:val="27"/>
          <w:szCs w:val="27"/>
        </w:rPr>
        <w:lastRenderedPageBreak/>
        <w:t>відповідними органами місцевого самоврядування, уповноваженими представниками всеукраїнських профспілок, їх об’єднань та всеукраїнськими об’єднаннями організацій роботодавців,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14:paraId="739F8C8D" w14:textId="77777777" w:rsidR="00201AA7" w:rsidRPr="008014C4" w:rsidRDefault="00201AA7" w:rsidP="00201A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>Проєкт акта не стосується сфери наукової та науково-технічної діяльності та не потребує погодження  Науковим комітетом Національної ради з питань розвитку науки і технологій.</w:t>
      </w:r>
    </w:p>
    <w:p w14:paraId="4ADFFA34" w14:textId="77777777" w:rsidR="00201AA7" w:rsidRPr="008014C4" w:rsidRDefault="00201AA7" w:rsidP="00201AA7">
      <w:pPr>
        <w:shd w:val="clear" w:color="auto" w:fill="FFFFFF"/>
        <w:ind w:firstLine="567"/>
        <w:jc w:val="both"/>
        <w:rPr>
          <w:bCs/>
          <w:sz w:val="27"/>
          <w:szCs w:val="27"/>
          <w:shd w:val="clear" w:color="auto" w:fill="FFFFFF"/>
          <w:lang w:val="ru-RU"/>
        </w:rPr>
      </w:pPr>
    </w:p>
    <w:p w14:paraId="0D8E75D5" w14:textId="77777777" w:rsidR="00201AA7" w:rsidRPr="008014C4" w:rsidRDefault="00201AA7" w:rsidP="00201AA7">
      <w:pPr>
        <w:shd w:val="clear" w:color="auto" w:fill="FFFFFF"/>
        <w:ind w:firstLine="567"/>
        <w:jc w:val="both"/>
        <w:rPr>
          <w:b/>
          <w:bCs/>
          <w:sz w:val="27"/>
          <w:szCs w:val="27"/>
          <w:shd w:val="clear" w:color="auto" w:fill="FFFFFF"/>
        </w:rPr>
      </w:pPr>
      <w:r w:rsidRPr="008014C4">
        <w:rPr>
          <w:b/>
          <w:bCs/>
          <w:sz w:val="27"/>
          <w:szCs w:val="27"/>
          <w:shd w:val="clear" w:color="auto" w:fill="FFFFFF"/>
        </w:rPr>
        <w:t xml:space="preserve">7. Оцінка відповідності </w:t>
      </w:r>
    </w:p>
    <w:p w14:paraId="1C78C9F7" w14:textId="77777777" w:rsidR="00F8597A" w:rsidRPr="008014C4" w:rsidRDefault="00F8597A" w:rsidP="00F8597A">
      <w:pPr>
        <w:shd w:val="clear" w:color="auto" w:fill="FFFFFF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>У проєкті акта відсутні положення, що:</w:t>
      </w:r>
    </w:p>
    <w:p w14:paraId="60E8D65B" w14:textId="77777777" w:rsidR="00F8597A" w:rsidRPr="008014C4" w:rsidRDefault="00F8597A" w:rsidP="00F8597A">
      <w:pPr>
        <w:shd w:val="clear" w:color="auto" w:fill="FFFFFF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>стосуються зобов’язань України у сфері європейської інтеграції;</w:t>
      </w:r>
    </w:p>
    <w:p w14:paraId="5F7441CA" w14:textId="77777777" w:rsidR="00F8597A" w:rsidRPr="008014C4" w:rsidRDefault="00F8597A" w:rsidP="00F8597A">
      <w:pPr>
        <w:shd w:val="clear" w:color="auto" w:fill="FFFFFF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>стосуються прав та свобод, гарантованих Конвенцією про захист прав людини і основоположних свобод;</w:t>
      </w:r>
    </w:p>
    <w:p w14:paraId="0A0CCF55" w14:textId="77777777" w:rsidR="00F8597A" w:rsidRPr="008014C4" w:rsidRDefault="00F8597A" w:rsidP="00F8597A">
      <w:pPr>
        <w:shd w:val="clear" w:color="auto" w:fill="FFFFFF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 xml:space="preserve">впливають на забезпечення рівних прав та можливостей жінок і чоловіків; </w:t>
      </w:r>
    </w:p>
    <w:p w14:paraId="287AA767" w14:textId="77777777" w:rsidR="00F8597A" w:rsidRPr="008014C4" w:rsidRDefault="00F8597A" w:rsidP="00F8597A">
      <w:pPr>
        <w:shd w:val="clear" w:color="auto" w:fill="FFFFFF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>містять ризики вчинення корупційних правопорушень та правопорушень, пов’язаних з корупцією;</w:t>
      </w:r>
    </w:p>
    <w:p w14:paraId="0474E4C0" w14:textId="77777777" w:rsidR="00F8597A" w:rsidRPr="008014C4" w:rsidRDefault="00F8597A" w:rsidP="00F8597A">
      <w:pPr>
        <w:shd w:val="clear" w:color="auto" w:fill="FFFFFF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  <w:shd w:val="clear" w:color="auto" w:fill="FFFFFF"/>
        </w:rPr>
        <w:t>створюють підстави для дискримінації</w:t>
      </w:r>
      <w:r w:rsidRPr="008014C4">
        <w:rPr>
          <w:sz w:val="27"/>
          <w:szCs w:val="27"/>
        </w:rPr>
        <w:t>.</w:t>
      </w:r>
    </w:p>
    <w:p w14:paraId="1378546C" w14:textId="77777777" w:rsidR="00F8597A" w:rsidRPr="008014C4" w:rsidRDefault="00F8597A" w:rsidP="00F8597A">
      <w:pPr>
        <w:shd w:val="clear" w:color="auto" w:fill="FFFFFF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>Громадська антикорупційна, громадська антидискримінаційна та громадська гендерно-правова експертизи не проводились.</w:t>
      </w:r>
    </w:p>
    <w:p w14:paraId="2D628ECE" w14:textId="77777777" w:rsidR="00201AA7" w:rsidRPr="008014C4" w:rsidRDefault="00201AA7" w:rsidP="00201AA7">
      <w:pPr>
        <w:widowControl w:val="0"/>
        <w:ind w:left="928" w:firstLine="567"/>
        <w:jc w:val="both"/>
        <w:rPr>
          <w:b/>
          <w:sz w:val="27"/>
          <w:szCs w:val="27"/>
        </w:rPr>
      </w:pPr>
    </w:p>
    <w:p w14:paraId="390D4469" w14:textId="77777777" w:rsidR="00201AA7" w:rsidRPr="008014C4" w:rsidRDefault="00201AA7" w:rsidP="00201AA7">
      <w:pPr>
        <w:shd w:val="clear" w:color="auto" w:fill="FFFFFF"/>
        <w:spacing w:after="150"/>
        <w:ind w:firstLine="567"/>
        <w:jc w:val="both"/>
        <w:rPr>
          <w:sz w:val="27"/>
          <w:szCs w:val="27"/>
        </w:rPr>
      </w:pPr>
      <w:r w:rsidRPr="008014C4">
        <w:rPr>
          <w:b/>
          <w:bCs/>
          <w:sz w:val="27"/>
          <w:szCs w:val="27"/>
        </w:rPr>
        <w:t>8. Прогноз результатів</w:t>
      </w:r>
    </w:p>
    <w:p w14:paraId="4D06463D" w14:textId="23D4AC53" w:rsidR="00201AA7" w:rsidRPr="008014C4" w:rsidRDefault="00201AA7" w:rsidP="00201AA7">
      <w:pPr>
        <w:shd w:val="clear" w:color="auto" w:fill="FFFFFF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</w:rPr>
        <w:t>Реалізація акта не матиме впливу на: ринкове середовище,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04C160B0" w14:textId="0D2C3F61" w:rsidR="00201AA7" w:rsidRPr="008014C4" w:rsidRDefault="00201AA7" w:rsidP="00201AA7">
      <w:pPr>
        <w:widowControl w:val="0"/>
        <w:ind w:firstLine="567"/>
        <w:jc w:val="both"/>
        <w:rPr>
          <w:sz w:val="27"/>
          <w:szCs w:val="27"/>
        </w:rPr>
      </w:pPr>
      <w:r w:rsidRPr="008014C4">
        <w:rPr>
          <w:sz w:val="27"/>
          <w:szCs w:val="27"/>
          <w:shd w:val="clear" w:color="auto" w:fill="FFFFFF"/>
        </w:rPr>
        <w:t xml:space="preserve">Реалізація акта </w:t>
      </w:r>
      <w:r w:rsidRPr="008014C4">
        <w:rPr>
          <w:sz w:val="27"/>
          <w:szCs w:val="27"/>
        </w:rPr>
        <w:t xml:space="preserve">дозволить </w:t>
      </w:r>
      <w:bookmarkStart w:id="6" w:name="_Hlk193203745"/>
      <w:r w:rsidRPr="008014C4">
        <w:rPr>
          <w:sz w:val="27"/>
          <w:szCs w:val="27"/>
        </w:rPr>
        <w:t>забезпечити контроль за дотриманням автомобільними перевізниками вимог актів законодавства щодо здійснення автомобільних нерегулярних пасажирських перевезень</w:t>
      </w:r>
      <w:bookmarkEnd w:id="6"/>
      <w:r w:rsidRPr="008014C4">
        <w:rPr>
          <w:sz w:val="27"/>
          <w:szCs w:val="27"/>
        </w:rPr>
        <w:t xml:space="preserve">. </w:t>
      </w:r>
    </w:p>
    <w:p w14:paraId="09A70134" w14:textId="53E4614D" w:rsidR="00201AA7" w:rsidRPr="00D5087C" w:rsidRDefault="00201AA7" w:rsidP="00422C38">
      <w:pPr>
        <w:contextualSpacing/>
        <w:jc w:val="both"/>
        <w:rPr>
          <w:sz w:val="28"/>
          <w:szCs w:val="28"/>
        </w:rPr>
      </w:pPr>
    </w:p>
    <w:p w14:paraId="7B75A71A" w14:textId="77777777" w:rsidR="00422C38" w:rsidRPr="00D5087C" w:rsidRDefault="00422C38" w:rsidP="00422C38">
      <w:pPr>
        <w:contextualSpacing/>
        <w:jc w:val="both"/>
        <w:rPr>
          <w:sz w:val="28"/>
          <w:szCs w:val="28"/>
        </w:rPr>
      </w:pPr>
    </w:p>
    <w:p w14:paraId="66E5E362" w14:textId="77777777" w:rsidR="00201AA7" w:rsidRPr="00D5087C" w:rsidRDefault="00201AA7" w:rsidP="00201AA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5087C">
        <w:rPr>
          <w:rFonts w:ascii="Times New Roman" w:hAnsi="Times New Roman"/>
          <w:sz w:val="28"/>
          <w:szCs w:val="28"/>
        </w:rPr>
        <w:t>Голова Державної служби України</w:t>
      </w:r>
    </w:p>
    <w:p w14:paraId="1C5108FC" w14:textId="498A2619" w:rsidR="00201AA7" w:rsidRPr="00D5087C" w:rsidRDefault="00201AA7" w:rsidP="00201AA7">
      <w:pPr>
        <w:rPr>
          <w:sz w:val="28"/>
          <w:szCs w:val="28"/>
        </w:rPr>
      </w:pPr>
      <w:r w:rsidRPr="00D5087C">
        <w:rPr>
          <w:sz w:val="28"/>
          <w:szCs w:val="28"/>
        </w:rPr>
        <w:t>з безпеки на транс</w:t>
      </w:r>
      <w:r w:rsidR="00422C38" w:rsidRPr="00D5087C">
        <w:rPr>
          <w:sz w:val="28"/>
          <w:szCs w:val="28"/>
        </w:rPr>
        <w:t>порті</w:t>
      </w:r>
      <w:r w:rsidR="00422C38" w:rsidRPr="00D5087C">
        <w:rPr>
          <w:sz w:val="28"/>
          <w:szCs w:val="28"/>
        </w:rPr>
        <w:tab/>
      </w:r>
      <w:r w:rsidR="00422C38" w:rsidRPr="00D5087C">
        <w:rPr>
          <w:sz w:val="28"/>
          <w:szCs w:val="28"/>
        </w:rPr>
        <w:tab/>
      </w:r>
      <w:r w:rsidR="00422C38" w:rsidRPr="00D5087C">
        <w:rPr>
          <w:sz w:val="28"/>
          <w:szCs w:val="28"/>
        </w:rPr>
        <w:tab/>
      </w:r>
      <w:r w:rsidR="00422C38" w:rsidRPr="00D5087C">
        <w:rPr>
          <w:sz w:val="28"/>
          <w:szCs w:val="28"/>
        </w:rPr>
        <w:tab/>
      </w:r>
      <w:r w:rsidR="00422C38" w:rsidRPr="00D5087C">
        <w:rPr>
          <w:sz w:val="28"/>
          <w:szCs w:val="28"/>
        </w:rPr>
        <w:tab/>
      </w:r>
      <w:r w:rsidR="00422C38" w:rsidRPr="00D5087C">
        <w:rPr>
          <w:sz w:val="28"/>
          <w:szCs w:val="28"/>
        </w:rPr>
        <w:tab/>
        <w:t xml:space="preserve">         </w:t>
      </w:r>
      <w:r w:rsidRPr="00D5087C">
        <w:rPr>
          <w:sz w:val="28"/>
          <w:szCs w:val="28"/>
        </w:rPr>
        <w:t xml:space="preserve">    </w:t>
      </w:r>
      <w:r w:rsidRPr="00D5087C">
        <w:rPr>
          <w:bCs/>
          <w:sz w:val="28"/>
          <w:szCs w:val="28"/>
        </w:rPr>
        <w:t>Микита ЛАГУНІН</w:t>
      </w:r>
    </w:p>
    <w:p w14:paraId="6BD271FA" w14:textId="77777777" w:rsidR="00201AA7" w:rsidRPr="00D5087C" w:rsidRDefault="00201AA7"/>
    <w:sectPr w:rsidR="00201AA7" w:rsidRPr="00D5087C" w:rsidSect="008014C4"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AC9B" w14:textId="77777777" w:rsidR="0066134A" w:rsidRDefault="0066134A" w:rsidP="008014C4">
      <w:r>
        <w:separator/>
      </w:r>
    </w:p>
  </w:endnote>
  <w:endnote w:type="continuationSeparator" w:id="0">
    <w:p w14:paraId="4A083E53" w14:textId="77777777" w:rsidR="0066134A" w:rsidRDefault="0066134A" w:rsidP="0080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1D09" w14:textId="77777777" w:rsidR="0066134A" w:rsidRDefault="0066134A" w:rsidP="008014C4">
      <w:r>
        <w:separator/>
      </w:r>
    </w:p>
  </w:footnote>
  <w:footnote w:type="continuationSeparator" w:id="0">
    <w:p w14:paraId="712C35DD" w14:textId="77777777" w:rsidR="0066134A" w:rsidRDefault="0066134A" w:rsidP="0080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9180219"/>
      <w:docPartObj>
        <w:docPartGallery w:val="Page Numbers (Top of Page)"/>
        <w:docPartUnique/>
      </w:docPartObj>
    </w:sdtPr>
    <w:sdtContent>
      <w:p w14:paraId="0E4A587E" w14:textId="6C9C7889" w:rsidR="008014C4" w:rsidRDefault="008014C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0B30B" w14:textId="77777777" w:rsidR="008014C4" w:rsidRDefault="008014C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A7"/>
    <w:rsid w:val="00023179"/>
    <w:rsid w:val="00107019"/>
    <w:rsid w:val="001B30C4"/>
    <w:rsid w:val="00201AA7"/>
    <w:rsid w:val="00202424"/>
    <w:rsid w:val="00225E9E"/>
    <w:rsid w:val="002A210C"/>
    <w:rsid w:val="0031002B"/>
    <w:rsid w:val="00360443"/>
    <w:rsid w:val="003E7641"/>
    <w:rsid w:val="00422C38"/>
    <w:rsid w:val="00564DB1"/>
    <w:rsid w:val="006367D5"/>
    <w:rsid w:val="0066134A"/>
    <w:rsid w:val="0076269F"/>
    <w:rsid w:val="007C5C23"/>
    <w:rsid w:val="007E0210"/>
    <w:rsid w:val="008014C4"/>
    <w:rsid w:val="008235F0"/>
    <w:rsid w:val="00876231"/>
    <w:rsid w:val="009820F8"/>
    <w:rsid w:val="009F36C2"/>
    <w:rsid w:val="00A117BA"/>
    <w:rsid w:val="00AC708E"/>
    <w:rsid w:val="00CE49B8"/>
    <w:rsid w:val="00D5087C"/>
    <w:rsid w:val="00D72E99"/>
    <w:rsid w:val="00F8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64A54"/>
  <w15:chartTrackingRefBased/>
  <w15:docId w15:val="{7629783C-7DE9-41BF-96FC-9F673766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ug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1AA7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1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1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1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1A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1A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1A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1A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1A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1A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1A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0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01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01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A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01A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1AA7"/>
    <w:rPr>
      <w:b/>
      <w:bCs/>
      <w:smallCaps/>
      <w:color w:val="0F4761" w:themeColor="accent1" w:themeShade="BF"/>
      <w:spacing w:val="5"/>
    </w:rPr>
  </w:style>
  <w:style w:type="paragraph" w:customStyle="1" w:styleId="rvps2">
    <w:name w:val="rvps2"/>
    <w:basedOn w:val="a"/>
    <w:rsid w:val="00201AA7"/>
    <w:pPr>
      <w:spacing w:before="100" w:beforeAutospacing="1" w:after="100" w:afterAutospacing="1"/>
    </w:pPr>
  </w:style>
  <w:style w:type="character" w:customStyle="1" w:styleId="rvts9">
    <w:name w:val="rvts9"/>
    <w:rsid w:val="00201AA7"/>
  </w:style>
  <w:style w:type="paragraph" w:styleId="ae">
    <w:name w:val="No Spacing"/>
    <w:qFormat/>
    <w:rsid w:val="00201AA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bidi="ar-SA"/>
      <w14:ligatures w14:val="none"/>
    </w:rPr>
  </w:style>
  <w:style w:type="character" w:customStyle="1" w:styleId="rvts23">
    <w:name w:val="rvts23"/>
    <w:rsid w:val="00201AA7"/>
  </w:style>
  <w:style w:type="paragraph" w:styleId="af">
    <w:name w:val="Revision"/>
    <w:hidden/>
    <w:uiPriority w:val="99"/>
    <w:semiHidden/>
    <w:rsid w:val="002A210C"/>
    <w:pPr>
      <w:spacing w:after="0" w:line="240" w:lineRule="auto"/>
    </w:pPr>
    <w:rPr>
      <w:rFonts w:ascii="Times New Roman" w:eastAsia="Times New Roman" w:hAnsi="Times New Roman" w:cs="Times New Roman"/>
      <w:kern w:val="0"/>
      <w:lang w:eastAsia="uk-UA" w:bidi="ar-SA"/>
      <w14:ligatures w14:val="none"/>
    </w:rPr>
  </w:style>
  <w:style w:type="paragraph" w:styleId="af0">
    <w:name w:val="header"/>
    <w:basedOn w:val="a"/>
    <w:link w:val="af1"/>
    <w:uiPriority w:val="99"/>
    <w:unhideWhenUsed/>
    <w:rsid w:val="008014C4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8014C4"/>
    <w:rPr>
      <w:rFonts w:ascii="Times New Roman" w:eastAsia="Times New Roman" w:hAnsi="Times New Roman" w:cs="Times New Roman"/>
      <w:kern w:val="0"/>
      <w:lang w:eastAsia="uk-UA" w:bidi="ar-SA"/>
      <w14:ligatures w14:val="none"/>
    </w:rPr>
  </w:style>
  <w:style w:type="paragraph" w:styleId="af2">
    <w:name w:val="footer"/>
    <w:basedOn w:val="a"/>
    <w:link w:val="af3"/>
    <w:uiPriority w:val="99"/>
    <w:unhideWhenUsed/>
    <w:rsid w:val="008014C4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8014C4"/>
    <w:rPr>
      <w:rFonts w:ascii="Times New Roman" w:eastAsia="Times New Roman" w:hAnsi="Times New Roman" w:cs="Times New Roman"/>
      <w:kern w:val="0"/>
      <w:lang w:eastAsia="uk-UA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6-201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6-97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AA5C-8FC7-4CE4-8ADE-872F9D6F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4694</Words>
  <Characters>2676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Різник</dc:creator>
  <cp:keywords/>
  <dc:description/>
  <cp:lastModifiedBy>Олександр Різник</cp:lastModifiedBy>
  <cp:revision>9</cp:revision>
  <dcterms:created xsi:type="dcterms:W3CDTF">2025-03-18T09:34:00Z</dcterms:created>
  <dcterms:modified xsi:type="dcterms:W3CDTF">2025-03-19T09:11:00Z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2025-03-04T11:42:46Z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d5c9fa5c-76fb-49a4-be82-8a0c6eda913d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